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56" w:rsidRDefault="00387F23" w:rsidP="00387F23">
      <w:pPr>
        <w:ind w:right="-143" w:firstLine="0"/>
        <w:jc w:val="center"/>
        <w:rPr>
          <w:b/>
        </w:rPr>
      </w:pPr>
      <w:r w:rsidRPr="00387F23">
        <w:rPr>
          <w:b/>
        </w:rPr>
        <w:t>ОБЪЯВЛЕНИЕ</w:t>
      </w:r>
      <w:r>
        <w:rPr>
          <w:b/>
        </w:rPr>
        <w:br/>
      </w:r>
      <w:r w:rsidRPr="00387F23">
        <w:rPr>
          <w:b/>
        </w:rPr>
        <w:t>о проведении конкурса на замещение 8 вакантных должностей нотариусов, занимающихся частной практикой, в Запорожской области</w:t>
      </w:r>
    </w:p>
    <w:p w:rsidR="00387F23" w:rsidRDefault="00387F23" w:rsidP="00387F23">
      <w:pPr>
        <w:ind w:right="-143" w:firstLine="0"/>
        <w:jc w:val="center"/>
        <w:rPr>
          <w:b/>
        </w:rPr>
      </w:pPr>
    </w:p>
    <w:p w:rsidR="00387F23" w:rsidRPr="00387F23" w:rsidRDefault="00387F23" w:rsidP="00387F23">
      <w:pPr>
        <w:ind w:right="-143" w:firstLine="0"/>
        <w:jc w:val="both"/>
      </w:pPr>
      <w:r>
        <w:rPr>
          <w:b/>
        </w:rPr>
        <w:tab/>
      </w:r>
      <w:proofErr w:type="gramStart"/>
      <w:r w:rsidRPr="00387F23">
        <w:t>В соответствии с частью третьей статьи 12 Основ законодательства Российской Федерации о нотариате от 11.02.1993 № 4462-1</w:t>
      </w:r>
      <w:r w:rsidR="00201CF0">
        <w:t>(далее-Основ)</w:t>
      </w:r>
      <w:r w:rsidRPr="00387F23">
        <w:t xml:space="preserve">, </w:t>
      </w:r>
      <w:r w:rsidR="00195DAD">
        <w:br/>
      </w:r>
      <w:r w:rsidRPr="00387F23">
        <w:t>а также Порядком проведения конкурса на замещение вакантной должности нотариуса, утвержденным приказом Министерства юстиции Российской Федерации от 30.03.2018 № 63</w:t>
      </w:r>
      <w:r>
        <w:t xml:space="preserve"> </w:t>
      </w:r>
      <w:r w:rsidRPr="00387F23">
        <w:t xml:space="preserve">(далее – </w:t>
      </w:r>
      <w:r>
        <w:t>Порядок</w:t>
      </w:r>
      <w:r w:rsidRPr="00387F23">
        <w:t>)</w:t>
      </w:r>
      <w:r w:rsidRPr="00387F23">
        <w:t>, на основании распоряжения Управления Министерства юстиции Российской Федерации по Запорожско</w:t>
      </w:r>
      <w:r w:rsidRPr="00387F23">
        <w:t xml:space="preserve">й области (далее – Управление) </w:t>
      </w:r>
      <w:r w:rsidRPr="00387F23">
        <w:t>от 19.02.2026 № 24-р «Об объявлении конкурса на замещение вакантных</w:t>
      </w:r>
      <w:proofErr w:type="gramEnd"/>
      <w:r w:rsidRPr="00387F23">
        <w:t xml:space="preserve"> должностей нотариусов, </w:t>
      </w:r>
      <w:r w:rsidRPr="00387F23">
        <w:t xml:space="preserve">занимающихся частной практикой </w:t>
      </w:r>
      <w:r w:rsidRPr="00387F23">
        <w:t>в Запорожской области» объявлен конкурс на замещение 8 (восьми) вакантных должностей нотариусов, з</w:t>
      </w:r>
      <w:r w:rsidR="00201CF0">
        <w:t xml:space="preserve">анимающихся частной практикой, </w:t>
      </w:r>
      <w:r w:rsidR="00201CF0">
        <w:br/>
      </w:r>
      <w:r w:rsidRPr="00387F23">
        <w:t>на территории Запорожской области:</w:t>
      </w:r>
    </w:p>
    <w:p w:rsidR="00387F23" w:rsidRPr="00387F23" w:rsidRDefault="00387F23" w:rsidP="00387F23">
      <w:pPr>
        <w:ind w:right="-143" w:firstLine="0"/>
        <w:jc w:val="both"/>
      </w:pPr>
      <w:r>
        <w:rPr>
          <w:b/>
        </w:rPr>
        <w:tab/>
      </w:r>
      <w:r w:rsidRPr="00387F23">
        <w:t xml:space="preserve">- Васильевский районный – 2 должности; 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- Каменко-Днепровский – 1 должность;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- Мелитопольский городской – 1 должности;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- Михайловский районный – 1 должности;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 xml:space="preserve">- Пологовский районный – 2 должности; 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 xml:space="preserve">- Черниговский районный – 1 должность. </w:t>
      </w:r>
    </w:p>
    <w:p w:rsidR="00387F23" w:rsidRPr="00387F23" w:rsidRDefault="00387F23" w:rsidP="00387F23">
      <w:pPr>
        <w:ind w:right="-143" w:firstLine="0"/>
      </w:pPr>
      <w:r>
        <w:tab/>
      </w:r>
      <w:r w:rsidRPr="00387F23">
        <w:t xml:space="preserve">Конкурс состоится – </w:t>
      </w:r>
      <w:r w:rsidRPr="00387F23">
        <w:rPr>
          <w:b/>
        </w:rPr>
        <w:t>6 мая 2026 года</w:t>
      </w:r>
      <w:r w:rsidRPr="00387F23">
        <w:t xml:space="preserve">, начало в </w:t>
      </w:r>
      <w:r w:rsidRPr="00387F23">
        <w:rPr>
          <w:b/>
        </w:rPr>
        <w:t>10 часов 00 минут</w:t>
      </w:r>
      <w:r w:rsidRPr="00387F23">
        <w:t xml:space="preserve">. </w:t>
      </w:r>
    </w:p>
    <w:p w:rsidR="00387F23" w:rsidRPr="00387F23" w:rsidRDefault="00387F23" w:rsidP="00387F23">
      <w:pPr>
        <w:ind w:right="-143" w:firstLine="0"/>
        <w:jc w:val="both"/>
      </w:pPr>
      <w:r>
        <w:tab/>
      </w:r>
      <w:r w:rsidRPr="00387F23">
        <w:t>Место заседания конкурсной комиссии – помещение Управление Министерства юстиции Российской Федерации по Республики Крым, расположенное по адресу: г. Симфероп</w:t>
      </w:r>
      <w:r>
        <w:t xml:space="preserve">оль, ул. </w:t>
      </w:r>
      <w:proofErr w:type="spellStart"/>
      <w:r>
        <w:t>Долгоруковская</w:t>
      </w:r>
      <w:proofErr w:type="spellEnd"/>
      <w:r>
        <w:t>, д. 16.</w:t>
      </w:r>
    </w:p>
    <w:p w:rsidR="00387F23" w:rsidRPr="00387F23" w:rsidRDefault="00387F23" w:rsidP="00387F23">
      <w:pPr>
        <w:ind w:right="-143" w:firstLine="0"/>
        <w:jc w:val="both"/>
        <w:rPr>
          <w:b/>
        </w:rPr>
      </w:pPr>
      <w:r>
        <w:tab/>
      </w:r>
      <w:r w:rsidRPr="00387F23">
        <w:t>Прием документов для участия в</w:t>
      </w:r>
      <w:r w:rsidRPr="00387F23">
        <w:t xml:space="preserve"> конкурсе будет осуществляться </w:t>
      </w:r>
      <w:r w:rsidR="00201CF0">
        <w:br/>
      </w:r>
      <w:r w:rsidRPr="00387F23">
        <w:t>с</w:t>
      </w:r>
      <w:r w:rsidRPr="00387F23">
        <w:rPr>
          <w:b/>
        </w:rPr>
        <w:t xml:space="preserve"> 30.03.2026 по 10.04.2026 </w:t>
      </w:r>
      <w:r w:rsidRPr="00387F23">
        <w:t>включительно</w:t>
      </w:r>
      <w:r w:rsidRPr="00387F23">
        <w:rPr>
          <w:b/>
        </w:rPr>
        <w:t xml:space="preserve"> </w:t>
      </w:r>
      <w:r w:rsidRPr="00387F23">
        <w:t xml:space="preserve">(часы приема: </w:t>
      </w:r>
      <w:proofErr w:type="spellStart"/>
      <w:r w:rsidRPr="00387F23">
        <w:t>пн-чт</w:t>
      </w:r>
      <w:proofErr w:type="spellEnd"/>
      <w:r w:rsidRPr="00387F23">
        <w:rPr>
          <w:b/>
        </w:rPr>
        <w:t>: 8:00-12:00</w:t>
      </w:r>
      <w:r w:rsidRPr="00387F23">
        <w:t xml:space="preserve">, </w:t>
      </w:r>
      <w:r w:rsidRPr="00387F23">
        <w:rPr>
          <w:b/>
        </w:rPr>
        <w:t>13:00-17:00</w:t>
      </w:r>
      <w:r w:rsidRPr="00387F23">
        <w:t xml:space="preserve">; </w:t>
      </w:r>
      <w:proofErr w:type="spellStart"/>
      <w:r w:rsidRPr="00387F23">
        <w:t>пт</w:t>
      </w:r>
      <w:proofErr w:type="spellEnd"/>
      <w:r w:rsidRPr="00387F23">
        <w:t>:</w:t>
      </w:r>
      <w:r w:rsidRPr="00387F23">
        <w:rPr>
          <w:b/>
        </w:rPr>
        <w:t xml:space="preserve"> 8:00-12:00, 13:00-15:45) </w:t>
      </w:r>
      <w:r w:rsidRPr="00387F23">
        <w:t>по адресу: 272316, г. Мелитополь, Запорожская область, ул. Екатерины Великой, д. 380. Телефон для записи –: +7 990 218 65 05, 8(800) 303-30-03 доб. 951-211</w:t>
      </w:r>
      <w:r w:rsidRPr="00387F23">
        <w:rPr>
          <w:b/>
        </w:rPr>
        <w:t>.</w:t>
      </w:r>
    </w:p>
    <w:p w:rsidR="00387F23" w:rsidRPr="00387F23" w:rsidRDefault="00387F23" w:rsidP="00387F23">
      <w:pPr>
        <w:ind w:right="-143" w:firstLine="0"/>
        <w:jc w:val="both"/>
      </w:pPr>
      <w:r w:rsidRPr="00387F23">
        <w:t xml:space="preserve">Кроме того, документы могут быть поданы посредством почтовой связи </w:t>
      </w:r>
      <w:r w:rsidR="00201CF0">
        <w:br/>
      </w:r>
      <w:r w:rsidRPr="00387F23">
        <w:t>и по электронной почте (e-</w:t>
      </w:r>
      <w:proofErr w:type="spellStart"/>
      <w:r w:rsidRPr="00387F23">
        <w:t>mail</w:t>
      </w:r>
      <w:proofErr w:type="spellEnd"/>
      <w:r w:rsidRPr="00387F23">
        <w:t xml:space="preserve">): </w:t>
      </w:r>
      <w:r w:rsidRPr="00387F23">
        <w:rPr>
          <w:u w:val="single"/>
        </w:rPr>
        <w:t>ru85@minjust.gov.ru</w:t>
      </w:r>
      <w:r w:rsidRPr="00387F23">
        <w:rPr>
          <w:u w:val="single"/>
        </w:rPr>
        <w:t>.</w:t>
      </w:r>
    </w:p>
    <w:p w:rsidR="00387F23" w:rsidRPr="00387F23" w:rsidRDefault="00387F23" w:rsidP="00387F23">
      <w:pPr>
        <w:ind w:right="-143" w:firstLine="0"/>
        <w:jc w:val="both"/>
        <w:rPr>
          <w:b/>
        </w:rPr>
      </w:pPr>
      <w:r>
        <w:rPr>
          <w:b/>
        </w:rPr>
        <w:tab/>
      </w:r>
      <w:r w:rsidRPr="00387F23">
        <w:t xml:space="preserve">Секретарь конкурсной комиссии – </w:t>
      </w:r>
      <w:proofErr w:type="spellStart"/>
      <w:r w:rsidRPr="00387F23">
        <w:t>Еремеева</w:t>
      </w:r>
      <w:proofErr w:type="spellEnd"/>
      <w:r w:rsidRPr="00387F23">
        <w:t xml:space="preserve"> Ю. К., начальник отдела по вопросам адвокатуры, нотариата, государственной регистрации актов гражданского состояния Управления, тел.: </w:t>
      </w:r>
      <w:r w:rsidRPr="00387F23">
        <w:rPr>
          <w:b/>
        </w:rPr>
        <w:t>+7 990 218 65 05</w:t>
      </w:r>
      <w:r w:rsidRPr="00387F23">
        <w:t xml:space="preserve">, </w:t>
      </w:r>
      <w:r w:rsidR="00201CF0">
        <w:br/>
      </w:r>
      <w:r w:rsidRPr="00387F23">
        <w:rPr>
          <w:b/>
        </w:rPr>
        <w:t>8(800) 303-30-03 доб. 951-211.</w:t>
      </w:r>
    </w:p>
    <w:p w:rsidR="00387F23" w:rsidRPr="00387F23" w:rsidRDefault="00387F23" w:rsidP="00387F23">
      <w:pPr>
        <w:ind w:right="-143" w:firstLine="0"/>
        <w:jc w:val="both"/>
        <w:rPr>
          <w:b/>
        </w:rPr>
      </w:pPr>
    </w:p>
    <w:p w:rsidR="00387F23" w:rsidRPr="00387F23" w:rsidRDefault="00387F23" w:rsidP="00387F23">
      <w:pPr>
        <w:ind w:right="-143" w:firstLine="0"/>
        <w:jc w:val="both"/>
      </w:pPr>
      <w:r>
        <w:rPr>
          <w:b/>
        </w:rPr>
        <w:tab/>
      </w:r>
      <w:r w:rsidRPr="00387F23">
        <w:t>В соответствии с пунктом 18 Поря</w:t>
      </w:r>
      <w:r w:rsidR="00201CF0">
        <w:t xml:space="preserve">дка лицо, желающее участвовать </w:t>
      </w:r>
      <w:r w:rsidR="00201CF0">
        <w:br/>
      </w:r>
      <w:r w:rsidRPr="00387F23">
        <w:t>в конкурсе, подает заявление (приложение № 1), а также представляет:</w:t>
      </w:r>
    </w:p>
    <w:p w:rsidR="00387F23" w:rsidRPr="00387F23" w:rsidRDefault="00387F23" w:rsidP="00387F23">
      <w:pPr>
        <w:ind w:right="-143" w:firstLine="0"/>
        <w:jc w:val="both"/>
      </w:pPr>
      <w:r w:rsidRPr="00387F23">
        <w:lastRenderedPageBreak/>
        <w:t>-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387F23" w:rsidRPr="00387F23" w:rsidRDefault="00387F23" w:rsidP="00387F23">
      <w:pPr>
        <w:ind w:right="-143" w:firstLine="0"/>
        <w:jc w:val="both"/>
      </w:pPr>
      <w:r>
        <w:rPr>
          <w:b/>
        </w:rPr>
        <w:tab/>
      </w:r>
      <w:r w:rsidRPr="00387F23"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 xml:space="preserve">- справки из наркологического и психоневрологического диспансеров </w:t>
      </w:r>
      <w:r w:rsidR="00201CF0">
        <w:br/>
      </w:r>
      <w:r w:rsidRPr="00387F23">
        <w:t>о том, что лицо, желающее участвовать в</w:t>
      </w:r>
      <w:r w:rsidRPr="00387F23">
        <w:t xml:space="preserve"> конкурсе, не состоит на учете </w:t>
      </w:r>
      <w:r w:rsidR="00201CF0">
        <w:br/>
      </w:r>
      <w:r w:rsidRPr="00387F23">
        <w:t>в данных диспансерах в связи с лечением от алкоголизма, наркомании, токсикомании, хронических и з</w:t>
      </w:r>
      <w:r w:rsidRPr="00387F23">
        <w:t>атяжных психических расстройств</w:t>
      </w:r>
      <w:r w:rsidRPr="00387F23">
        <w:t>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- справку из органов внутренн</w:t>
      </w:r>
      <w:r w:rsidR="00201CF0">
        <w:t>их дел об отсутствии судимости</w:t>
      </w:r>
      <w:r w:rsidRPr="00387F23">
        <w:t>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- заявление об отсутствии гражданства (подданства) иностранного государства или иностранных государств;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- рекомендацию нотариальной палаты.</w:t>
      </w:r>
    </w:p>
    <w:p w:rsidR="00387F23" w:rsidRPr="00387F23" w:rsidRDefault="00387F23" w:rsidP="00387F23">
      <w:pPr>
        <w:ind w:right="-143" w:firstLine="0"/>
        <w:jc w:val="both"/>
      </w:pPr>
    </w:p>
    <w:p w:rsidR="00201CF0" w:rsidRDefault="00387F23" w:rsidP="00387F23">
      <w:pPr>
        <w:ind w:right="-143" w:firstLine="0"/>
        <w:jc w:val="both"/>
      </w:pPr>
      <w:r w:rsidRPr="00387F23">
        <w:tab/>
      </w:r>
      <w:r w:rsidRPr="00387F23">
        <w:t xml:space="preserve">Особенности подачи документов лично, по почте, по электронной почте, через представителя </w:t>
      </w:r>
      <w:r>
        <w:t>содержатся в пункте 19 Порядка</w:t>
      </w:r>
      <w:r w:rsidR="00201CF0">
        <w:t>.</w:t>
      </w:r>
      <w:r>
        <w:t xml:space="preserve"> </w:t>
      </w:r>
    </w:p>
    <w:p w:rsidR="00387F23" w:rsidRPr="00387F23" w:rsidRDefault="00201CF0" w:rsidP="00387F23">
      <w:pPr>
        <w:ind w:right="-143" w:firstLine="0"/>
        <w:jc w:val="both"/>
      </w:pPr>
      <w:r>
        <w:tab/>
      </w:r>
      <w:r w:rsidR="00387F23" w:rsidRPr="00387F23">
        <w:t xml:space="preserve">Заявление и документы могут быть поданы по электронной почте. 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Указанные в пункте 18 Порядка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 xml:space="preserve">При подаче заявления и документов по почте представляются нотариально засвидетельствованные копии документов, указанных </w:t>
      </w:r>
    </w:p>
    <w:p w:rsidR="00387F23" w:rsidRPr="00387F23" w:rsidRDefault="00387F23" w:rsidP="00387F23">
      <w:pPr>
        <w:ind w:right="-143" w:firstLine="0"/>
        <w:jc w:val="both"/>
      </w:pPr>
      <w:r w:rsidRPr="00387F23">
        <w:t xml:space="preserve">в абзацах 2-7 пункта 18 Порядка, которые формируются в личное дело. 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 xml:space="preserve">При этом заявление и документы направляются с описью вложения </w:t>
      </w:r>
    </w:p>
    <w:p w:rsidR="00387F23" w:rsidRPr="00387F23" w:rsidRDefault="00387F23" w:rsidP="00387F23">
      <w:pPr>
        <w:ind w:right="-143" w:firstLine="0"/>
        <w:jc w:val="both"/>
      </w:pPr>
      <w:r w:rsidRPr="00387F23">
        <w:t xml:space="preserve">и уведомлением о вручении. Документ, удостоверяющий личность, </w:t>
      </w:r>
    </w:p>
    <w:p w:rsidR="00387F23" w:rsidRPr="00387F23" w:rsidRDefault="00387F23" w:rsidP="00387F23">
      <w:pPr>
        <w:ind w:right="-143" w:firstLine="0"/>
        <w:jc w:val="both"/>
      </w:pPr>
      <w:r w:rsidRPr="00387F23">
        <w:t>при подаче заявления и документов по почте не представляется.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</w:t>
      </w:r>
      <w:r w:rsidRPr="00387F23">
        <w:t xml:space="preserve">лучении заявления и документов </w:t>
      </w:r>
      <w:r w:rsidR="00201CF0">
        <w:br/>
      </w:r>
      <w:r w:rsidRPr="00387F23">
        <w:t xml:space="preserve">в электронной форме по адресу электронной почты, </w:t>
      </w:r>
      <w:r w:rsidRPr="00387F23">
        <w:br/>
      </w:r>
      <w:r w:rsidRPr="00387F23">
        <w:t>с которого они поступили.</w:t>
      </w:r>
    </w:p>
    <w:p w:rsidR="00387F23" w:rsidRPr="00387F23" w:rsidRDefault="00387F23" w:rsidP="00387F23">
      <w:pPr>
        <w:ind w:right="-143" w:firstLine="0"/>
        <w:jc w:val="both"/>
      </w:pPr>
      <w:r w:rsidRPr="00387F23">
        <w:lastRenderedPageBreak/>
        <w:tab/>
      </w:r>
      <w:r w:rsidRPr="00387F23">
        <w:t xml:space="preserve">По истечении установленного срока документы на конкурс </w:t>
      </w:r>
      <w:r w:rsidR="00201CF0">
        <w:br/>
      </w:r>
      <w:r w:rsidRPr="00387F23">
        <w:t>не принимаются. В случае поступления документов после окончания срока они возвращаются заявителю.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К участию в конкурсе в соответствии со статьей 2 Основ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пяти лет, достигш</w:t>
      </w:r>
      <w:r w:rsidRPr="00387F23">
        <w:t xml:space="preserve">ие возраста двадцати пяти лет, </w:t>
      </w:r>
      <w:r w:rsidRPr="00387F23">
        <w:t>но не старше семидесяти пяти лет, сдавшие квалификационный экзамен.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Не допускается к участию в лицо: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•</w:t>
      </w:r>
      <w:r w:rsidRPr="00387F23">
        <w:tab/>
        <w:t>имеющее гражданство (подданство) иностранного государства;</w:t>
      </w:r>
    </w:p>
    <w:p w:rsidR="00387F23" w:rsidRPr="00387F23" w:rsidRDefault="00387F23" w:rsidP="00387F23">
      <w:pPr>
        <w:ind w:right="-143" w:firstLine="0"/>
        <w:jc w:val="both"/>
      </w:pPr>
      <w:r w:rsidRPr="00387F23">
        <w:t>•</w:t>
      </w:r>
      <w:r w:rsidRPr="00387F23">
        <w:tab/>
      </w:r>
      <w:r w:rsidRPr="00387F23">
        <w:tab/>
        <w:t>или иностранных государств, если иное не предусмотрено международным договором Российской Федерации;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•</w:t>
      </w:r>
      <w:r w:rsidRPr="00387F23">
        <w:tab/>
        <w:t>признанное н</w:t>
      </w:r>
      <w:r>
        <w:t xml:space="preserve">едееспособным или ограниченное </w:t>
      </w:r>
      <w:r w:rsidRPr="00387F23">
        <w:t>в дееспособности решением суда, вступившим в законную силу;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•</w:t>
      </w:r>
      <w:r w:rsidRPr="00387F23">
        <w:tab/>
      </w:r>
      <w:proofErr w:type="gramStart"/>
      <w:r w:rsidRPr="00387F23">
        <w:t>состоя</w:t>
      </w:r>
      <w:r>
        <w:t>щее</w:t>
      </w:r>
      <w:proofErr w:type="gramEnd"/>
      <w:r>
        <w:t xml:space="preserve"> на учете в наркологическом </w:t>
      </w:r>
      <w:r w:rsidRPr="00387F23">
        <w:t>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•</w:t>
      </w:r>
      <w:r w:rsidRPr="00387F23">
        <w:tab/>
        <w:t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</w:t>
      </w:r>
      <w:r>
        <w:t xml:space="preserve">ия не снятой или не погашенной </w:t>
      </w:r>
      <w:r>
        <w:br/>
      </w:r>
      <w:r w:rsidRPr="00387F23">
        <w:t>в установленном федеральным законом порядке судимости за умышленное преступление;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•</w:t>
      </w:r>
      <w:r w:rsidRPr="00387F23">
        <w:tab/>
        <w:t>представившее подложные документы или заведомо ложные сведения при назначении на должность нотариуса;</w:t>
      </w:r>
    </w:p>
    <w:p w:rsidR="00387F23" w:rsidRPr="00387F23" w:rsidRDefault="00387F23" w:rsidP="00387F23">
      <w:pPr>
        <w:ind w:right="-143" w:firstLine="0"/>
        <w:jc w:val="both"/>
      </w:pPr>
      <w:r w:rsidRPr="00387F23">
        <w:tab/>
      </w:r>
      <w:r w:rsidRPr="00387F23">
        <w:t>•</w:t>
      </w:r>
      <w:r w:rsidRPr="00387F23">
        <w:tab/>
        <w:t xml:space="preserve">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</w:t>
      </w:r>
      <w:r>
        <w:br/>
      </w:r>
      <w:r w:rsidRPr="00387F23">
        <w:t xml:space="preserve">в связи с невозможностью исполнять профессиональные обязанности </w:t>
      </w:r>
      <w:r w:rsidR="00201CF0">
        <w:br/>
      </w:r>
      <w:r w:rsidRPr="00387F23">
        <w:t>по состоянию здоровья).</w:t>
      </w:r>
    </w:p>
    <w:p w:rsidR="00387F23" w:rsidRPr="001C6AB9" w:rsidRDefault="00387F23" w:rsidP="00387F23">
      <w:pPr>
        <w:ind w:right="-143" w:firstLine="0"/>
        <w:jc w:val="both"/>
        <w:rPr>
          <w:b/>
        </w:rPr>
      </w:pPr>
      <w:r w:rsidRPr="00387F23">
        <w:tab/>
      </w:r>
      <w:r w:rsidRPr="00387F23">
        <w:t>•</w:t>
      </w:r>
      <w:r w:rsidRPr="00387F23">
        <w:tab/>
        <w:t xml:space="preserve">Лица, сдавшие квалификационный экзамен, но не приступившие </w:t>
      </w:r>
      <w:r>
        <w:br/>
      </w:r>
      <w:r w:rsidRPr="00387F23"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>
        <w:br/>
      </w:r>
      <w:r w:rsidRPr="00387F23">
        <w:t xml:space="preserve">в течение трех лет с момента сдачи экзамена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</w:t>
      </w:r>
      <w:r w:rsidRPr="001C6AB9">
        <w:rPr>
          <w:b/>
        </w:rPr>
        <w:lastRenderedPageBreak/>
        <w:t>допускаются к конкурсу только после повторной сдачи квалификационного экзамена.</w:t>
      </w:r>
    </w:p>
    <w:p w:rsidR="00195DAD" w:rsidRDefault="001C6AB9" w:rsidP="00387F23">
      <w:pPr>
        <w:ind w:right="-143" w:firstLine="0"/>
        <w:jc w:val="both"/>
      </w:pPr>
      <w:r w:rsidRPr="001C6AB9">
        <w:t>________________________________________</w:t>
      </w:r>
      <w:r>
        <w:t>_______________________</w:t>
      </w:r>
    </w:p>
    <w:p w:rsidR="00195DAD" w:rsidRDefault="00195DAD" w:rsidP="00195DAD"/>
    <w:p w:rsidR="00195DAD" w:rsidRPr="00195DAD" w:rsidRDefault="00195DAD" w:rsidP="00195DAD">
      <w:pPr>
        <w:jc w:val="both"/>
        <w:rPr>
          <w:sz w:val="24"/>
          <w:szCs w:val="24"/>
        </w:rPr>
      </w:pPr>
      <w:r w:rsidRPr="00195DAD">
        <w:rPr>
          <w:sz w:val="24"/>
          <w:szCs w:val="24"/>
        </w:rPr>
        <w:t>*Справки должны соответствовать требованиям пункта 10 Порядка выдачи медицинскими организациями справок и медицинских заключений, утвержденного приказом Министерства здравоохранения и социального развития Российской Федерации от 02.05.2012 № 441н.</w:t>
      </w:r>
    </w:p>
    <w:p w:rsidR="001C6AB9" w:rsidRDefault="00195DAD" w:rsidP="00195DAD">
      <w:pPr>
        <w:jc w:val="both"/>
        <w:rPr>
          <w:sz w:val="24"/>
          <w:szCs w:val="24"/>
        </w:rPr>
      </w:pPr>
      <w:r w:rsidRPr="00195DAD">
        <w:rPr>
          <w:sz w:val="24"/>
          <w:szCs w:val="24"/>
        </w:rPr>
        <w:t>**Справка должна соответствовать требованиям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утвержденного приказом Министерства внутренних дел Российской Федерации от 27.09.2019 № 660.</w:t>
      </w:r>
    </w:p>
    <w:p w:rsidR="00195DAD" w:rsidRDefault="00195DAD" w:rsidP="00195DAD">
      <w:pPr>
        <w:jc w:val="both"/>
        <w:rPr>
          <w:sz w:val="24"/>
          <w:szCs w:val="24"/>
        </w:rPr>
      </w:pPr>
    </w:p>
    <w:p w:rsidR="00195DAD" w:rsidRDefault="00195DAD" w:rsidP="00195DAD">
      <w:pPr>
        <w:jc w:val="both"/>
        <w:rPr>
          <w:sz w:val="24"/>
          <w:szCs w:val="24"/>
        </w:rPr>
      </w:pPr>
    </w:p>
    <w:p w:rsidR="00195DAD" w:rsidRDefault="00195DAD" w:rsidP="00195DAD">
      <w:pPr>
        <w:jc w:val="both"/>
        <w:rPr>
          <w:sz w:val="24"/>
          <w:szCs w:val="24"/>
        </w:rPr>
      </w:pPr>
    </w:p>
    <w:p w:rsidR="00195DAD" w:rsidRDefault="00195DAD" w:rsidP="00195DAD">
      <w:pPr>
        <w:jc w:val="both"/>
        <w:rPr>
          <w:sz w:val="24"/>
          <w:szCs w:val="24"/>
        </w:rPr>
      </w:pPr>
    </w:p>
    <w:p w:rsidR="00195DAD" w:rsidRPr="00195DAD" w:rsidRDefault="00195DAD" w:rsidP="00195DAD">
      <w:pPr>
        <w:spacing w:line="240" w:lineRule="auto"/>
        <w:ind w:right="0" w:firstLine="0"/>
        <w:jc w:val="both"/>
        <w:rPr>
          <w:rFonts w:ascii="Calibri" w:eastAsia="Calibri" w:hAnsi="Calibri"/>
        </w:rPr>
      </w:pPr>
    </w:p>
    <w:p w:rsidR="00195DAD" w:rsidRPr="00195DAD" w:rsidRDefault="00195DAD" w:rsidP="00195DAD">
      <w:pPr>
        <w:tabs>
          <w:tab w:val="left" w:pos="7088"/>
        </w:tabs>
        <w:autoSpaceDE w:val="0"/>
        <w:autoSpaceDN w:val="0"/>
        <w:spacing w:line="240" w:lineRule="auto"/>
        <w:ind w:right="0" w:firstLine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195DAD" w:rsidRPr="00195DAD" w:rsidRDefault="00195DAD" w:rsidP="00195DAD">
      <w:pPr>
        <w:autoSpaceDE w:val="0"/>
        <w:autoSpaceDN w:val="0"/>
        <w:spacing w:line="240" w:lineRule="auto"/>
        <w:ind w:right="0"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5DAD" w:rsidRPr="00195DAD" w:rsidRDefault="00195DAD" w:rsidP="00195DAD">
      <w:pPr>
        <w:autoSpaceDE w:val="0"/>
        <w:autoSpaceDN w:val="0"/>
        <w:spacing w:line="240" w:lineRule="auto"/>
        <w:ind w:left="2835" w:righ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 </w:t>
      </w:r>
    </w:p>
    <w:p w:rsidR="00195DAD" w:rsidRPr="00195DAD" w:rsidRDefault="00195DAD" w:rsidP="00195DAD">
      <w:pPr>
        <w:pBdr>
          <w:top w:val="single" w:sz="4" w:space="1" w:color="auto"/>
        </w:pBdr>
        <w:autoSpaceDE w:val="0"/>
        <w:autoSpaceDN w:val="0"/>
        <w:spacing w:line="240" w:lineRule="auto"/>
        <w:ind w:left="4200" w:righ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>(наименование территориального органа Минюста России)</w:t>
      </w:r>
    </w:p>
    <w:p w:rsidR="00195DAD" w:rsidRPr="00195DAD" w:rsidRDefault="00195DAD" w:rsidP="00195DAD">
      <w:pPr>
        <w:tabs>
          <w:tab w:val="right" w:pos="9923"/>
        </w:tabs>
        <w:autoSpaceDE w:val="0"/>
        <w:autoSpaceDN w:val="0"/>
        <w:spacing w:line="240" w:lineRule="auto"/>
        <w:ind w:left="2835" w:righ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195DAD" w:rsidRPr="00195DAD" w:rsidRDefault="00195DAD" w:rsidP="00195DAD">
      <w:pPr>
        <w:pBdr>
          <w:top w:val="single" w:sz="4" w:space="1" w:color="auto"/>
        </w:pBdr>
        <w:autoSpaceDE w:val="0"/>
        <w:autoSpaceDN w:val="0"/>
        <w:spacing w:line="240" w:lineRule="auto"/>
        <w:ind w:left="2835" w:right="113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 (при наличии) лица, </w:t>
      </w: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конкурсе, в родительном падеже)</w:t>
      </w:r>
    </w:p>
    <w:p w:rsidR="00195DAD" w:rsidRPr="00195DAD" w:rsidRDefault="00195DAD" w:rsidP="00195DAD">
      <w:pPr>
        <w:autoSpaceDE w:val="0"/>
        <w:autoSpaceDN w:val="0"/>
        <w:spacing w:line="240" w:lineRule="auto"/>
        <w:ind w:left="2835" w:right="0"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5DAD" w:rsidRDefault="00195DAD" w:rsidP="00195DAD">
      <w:pPr>
        <w:pBdr>
          <w:top w:val="single" w:sz="4" w:space="1" w:color="auto"/>
        </w:pBdr>
        <w:autoSpaceDE w:val="0"/>
        <w:autoSpaceDN w:val="0"/>
        <w:spacing w:after="960" w:line="240" w:lineRule="auto"/>
        <w:ind w:left="2835" w:righ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 xml:space="preserve">(адрес места жительства или места пребывания лица, </w:t>
      </w: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конкурсе)</w:t>
      </w:r>
    </w:p>
    <w:p w:rsidR="00195DAD" w:rsidRPr="00195DAD" w:rsidRDefault="00195DAD" w:rsidP="00195DAD">
      <w:pPr>
        <w:pBdr>
          <w:top w:val="single" w:sz="4" w:space="1" w:color="auto"/>
        </w:pBdr>
        <w:autoSpaceDE w:val="0"/>
        <w:autoSpaceDN w:val="0"/>
        <w:spacing w:after="960" w:line="240" w:lineRule="auto"/>
        <w:ind w:left="2835" w:righ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5DAD" w:rsidRPr="00195DAD" w:rsidRDefault="00195DAD" w:rsidP="00195DAD">
      <w:pPr>
        <w:autoSpaceDE w:val="0"/>
        <w:autoSpaceDN w:val="0"/>
        <w:spacing w:after="240" w:line="240" w:lineRule="auto"/>
        <w:ind w:right="0" w:firstLine="0"/>
        <w:jc w:val="center"/>
        <w:rPr>
          <w:rFonts w:ascii="Times New Roman" w:eastAsia="Times New Roman" w:hAnsi="Times New Roman"/>
          <w:szCs w:val="26"/>
          <w:lang w:eastAsia="ru-RU"/>
        </w:rPr>
      </w:pPr>
      <w:r w:rsidRPr="00195DAD">
        <w:rPr>
          <w:rFonts w:ascii="Times New Roman" w:eastAsia="Times New Roman" w:hAnsi="Times New Roman"/>
          <w:szCs w:val="26"/>
          <w:lang w:eastAsia="ru-RU"/>
        </w:rPr>
        <w:t>Заявление</w:t>
      </w:r>
    </w:p>
    <w:p w:rsidR="00195DAD" w:rsidRPr="00195DAD" w:rsidRDefault="00195DAD" w:rsidP="00195DAD">
      <w:pPr>
        <w:tabs>
          <w:tab w:val="right" w:pos="9923"/>
        </w:tabs>
        <w:autoSpaceDE w:val="0"/>
        <w:autoSpaceDN w:val="0"/>
        <w:spacing w:line="240" w:lineRule="auto"/>
        <w:ind w:righ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</w:t>
      </w:r>
      <w:proofErr w:type="gramStart"/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>нотариуса</w:t>
      </w:r>
      <w:proofErr w:type="gramEnd"/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 xml:space="preserve"> в  </w:t>
      </w:r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ab/>
        <w:t>, который состоится</w:t>
      </w:r>
    </w:p>
    <w:p w:rsidR="00195DAD" w:rsidRPr="00195DAD" w:rsidRDefault="00195DAD" w:rsidP="00195DAD">
      <w:pPr>
        <w:pBdr>
          <w:top w:val="single" w:sz="4" w:space="1" w:color="auto"/>
        </w:pBdr>
        <w:autoSpaceDE w:val="0"/>
        <w:autoSpaceDN w:val="0"/>
        <w:spacing w:line="240" w:lineRule="auto"/>
        <w:ind w:left="1344" w:right="2125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>(наименование нотариального округа)</w:t>
      </w:r>
    </w:p>
    <w:p w:rsidR="00195DAD" w:rsidRPr="00195DAD" w:rsidRDefault="00195DAD" w:rsidP="00195DAD">
      <w:pPr>
        <w:tabs>
          <w:tab w:val="right" w:pos="9923"/>
        </w:tabs>
        <w:autoSpaceDE w:val="0"/>
        <w:autoSpaceDN w:val="0"/>
        <w:spacing w:line="240" w:lineRule="auto"/>
        <w:ind w:righ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DAD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195DAD" w:rsidRPr="00195DAD" w:rsidRDefault="00195DAD" w:rsidP="00195DAD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>(дата проведения конкурса)</w:t>
      </w:r>
      <w:bookmarkStart w:id="0" w:name="_GoBack"/>
      <w:bookmarkEnd w:id="0"/>
    </w:p>
    <w:p w:rsidR="00195DAD" w:rsidRPr="00195DAD" w:rsidRDefault="00195DAD" w:rsidP="00195DAD">
      <w:pPr>
        <w:autoSpaceDE w:val="0"/>
        <w:autoSpaceDN w:val="0"/>
        <w:spacing w:line="240" w:lineRule="auto"/>
        <w:ind w:left="4962" w:right="0" w:firstLine="12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5DAD" w:rsidRPr="00195DAD" w:rsidRDefault="00195DAD" w:rsidP="00195DAD">
      <w:pPr>
        <w:pBdr>
          <w:top w:val="single" w:sz="4" w:space="1" w:color="auto"/>
        </w:pBdr>
        <w:autoSpaceDE w:val="0"/>
        <w:autoSpaceDN w:val="0"/>
        <w:spacing w:line="240" w:lineRule="auto"/>
        <w:ind w:left="4962" w:righ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(дата, подпись, фамилия, имя, отчество </w:t>
      </w:r>
      <w:r w:rsidRPr="00195DAD"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 лица, желающего принять участие в конкурсе)</w:t>
      </w:r>
      <w:proofErr w:type="gramEnd"/>
    </w:p>
    <w:p w:rsidR="00195DAD" w:rsidRPr="00195DAD" w:rsidRDefault="00195DAD" w:rsidP="00195DAD">
      <w:pPr>
        <w:jc w:val="both"/>
        <w:rPr>
          <w:sz w:val="24"/>
          <w:szCs w:val="24"/>
        </w:rPr>
      </w:pPr>
    </w:p>
    <w:sectPr w:rsidR="00195DAD" w:rsidRPr="0019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9F"/>
    <w:rsid w:val="0011222A"/>
    <w:rsid w:val="00195DAD"/>
    <w:rsid w:val="001C6AB9"/>
    <w:rsid w:val="00201CF0"/>
    <w:rsid w:val="00387F23"/>
    <w:rsid w:val="006F08BC"/>
    <w:rsid w:val="00706D9F"/>
    <w:rsid w:val="00991717"/>
    <w:rsid w:val="00F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ind w:right="142" w:firstLine="104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ind w:right="142" w:firstLine="104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Цахно Владимир Васильевич</dc:creator>
  <cp:keywords/>
  <dc:description/>
  <cp:lastModifiedBy>Цахно Владимир Васильевич</cp:lastModifiedBy>
  <cp:revision>4</cp:revision>
  <dcterms:created xsi:type="dcterms:W3CDTF">2026-02-19T12:14:00Z</dcterms:created>
  <dcterms:modified xsi:type="dcterms:W3CDTF">2026-02-19T12:33:00Z</dcterms:modified>
</cp:coreProperties>
</file>